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1006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Приложение № 3  </w:t>
      </w:r>
    </w:p>
    <w:p>
      <w:pPr>
        <w:pStyle w:val="Normal"/>
        <w:spacing w:lineRule="auto" w:line="240" w:before="0" w:after="0"/>
        <w:ind w:left="1006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1006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распоряжению администрации  </w:t>
      </w:r>
    </w:p>
    <w:p>
      <w:pPr>
        <w:pStyle w:val="Normal"/>
        <w:spacing w:lineRule="auto" w:line="240" w:before="0" w:after="0"/>
        <w:ind w:left="1006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Воздвиженского сельского поселения </w:t>
      </w:r>
    </w:p>
    <w:p>
      <w:pPr>
        <w:pStyle w:val="Normal"/>
        <w:spacing w:lineRule="auto" w:line="240" w:before="0" w:after="0"/>
        <w:ind w:left="1006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Курганинского района</w:t>
      </w:r>
    </w:p>
    <w:p>
      <w:pPr>
        <w:pStyle w:val="Normal"/>
        <w:spacing w:lineRule="auto" w:line="240" w:before="0" w:after="0"/>
        <w:ind w:left="1006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 09.01.2023 года № 05-Р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ОТЧЕТ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 использовании межбюджетных трансфертов из федерального бюджета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субъектами Российской Федерации, муниципальными образованиями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 территориальным государственным внебюджетным фондом</w:t>
      </w:r>
    </w:p>
    <w:tbl>
      <w:tblPr>
        <w:tblStyle w:val="af0"/>
        <w:tblW w:w="216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866"/>
        <w:gridCol w:w="7228"/>
        <w:gridCol w:w="1560"/>
      </w:tblGrid>
      <w:tr>
        <w:trPr/>
        <w:tc>
          <w:tcPr>
            <w:tcW w:w="128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right="-3227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КОДЫ</w:t>
            </w:r>
          </w:p>
        </w:tc>
      </w:tr>
      <w:tr>
        <w:trPr/>
        <w:tc>
          <w:tcPr>
            <w:tcW w:w="128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Форма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0503324Ф</w:t>
            </w:r>
          </w:p>
        </w:tc>
      </w:tr>
      <w:tr>
        <w:trPr/>
        <w:tc>
          <w:tcPr>
            <w:tcW w:w="128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на 1 ________________________ 20____г.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Дата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28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Наименование финансового органа       __________________________________________________________________________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По ОКПО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28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Наименование бюджета _______________________________________________________________________________________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По ОКТМО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28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Периодичность: квартальная, годовая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28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Единица измерения: руб.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По ОКЕИ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383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Движение целевых средств</w:t>
      </w: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форма 0503324Ф с.1</w:t>
      </w:r>
    </w:p>
    <w:tbl>
      <w:tblPr>
        <w:tblStyle w:val="af0"/>
        <w:tblW w:w="1598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3"/>
        <w:gridCol w:w="422"/>
        <w:gridCol w:w="425"/>
        <w:gridCol w:w="427"/>
        <w:gridCol w:w="425"/>
        <w:gridCol w:w="424"/>
        <w:gridCol w:w="428"/>
        <w:gridCol w:w="566"/>
        <w:gridCol w:w="711"/>
        <w:gridCol w:w="849"/>
        <w:gridCol w:w="566"/>
        <w:gridCol w:w="746"/>
        <w:gridCol w:w="833"/>
        <w:gridCol w:w="691"/>
        <w:gridCol w:w="709"/>
        <w:gridCol w:w="547"/>
        <w:gridCol w:w="587"/>
        <w:gridCol w:w="570"/>
        <w:gridCol w:w="708"/>
        <w:gridCol w:w="568"/>
        <w:gridCol w:w="602"/>
        <w:gridCol w:w="852"/>
        <w:gridCol w:w="676"/>
        <w:gridCol w:w="7"/>
        <w:gridCol w:w="521"/>
        <w:gridCol w:w="602"/>
        <w:gridCol w:w="705"/>
      </w:tblGrid>
      <w:tr>
        <w:trPr/>
        <w:tc>
          <w:tcPr>
            <w:tcW w:w="3364" w:type="dxa"/>
            <w:gridSpan w:val="7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Межбюджетный трансферт</w:t>
            </w:r>
          </w:p>
        </w:tc>
        <w:tc>
          <w:tcPr>
            <w:tcW w:w="7375" w:type="dxa"/>
            <w:gridSpan w:val="11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Неиспользованный остаток прошлых лет</w:t>
            </w:r>
          </w:p>
        </w:tc>
        <w:tc>
          <w:tcPr>
            <w:tcW w:w="3413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Операции текущего финансового года</w:t>
            </w:r>
          </w:p>
        </w:tc>
        <w:tc>
          <w:tcPr>
            <w:tcW w:w="1828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ind w:right="34" w:hanging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Остаток средств в бюд</w:t>
              <w:softHyphen/>
              <w:t>жетах на конец отчет</w:t>
              <w:softHyphen/>
              <w:t>ного периода</w:t>
            </w:r>
          </w:p>
        </w:tc>
      </w:tr>
      <w:tr>
        <w:trPr/>
        <w:tc>
          <w:tcPr>
            <w:tcW w:w="81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наименова</w:t>
              <w:softHyphen/>
              <w:t>ние показа</w:t>
              <w:softHyphen/>
              <w:t>теля</w:t>
            </w:r>
          </w:p>
        </w:tc>
        <w:tc>
          <w:tcPr>
            <w:tcW w:w="422" w:type="dxa"/>
            <w:vMerge w:val="restart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код главы по    БК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vertAlign w:val="superscript"/>
                <w:lang w:val="ru-RU" w:eastAsia="en-US" w:bidi="ar-SA"/>
              </w:rPr>
              <w:t>1)</w:t>
            </w:r>
          </w:p>
        </w:tc>
        <w:tc>
          <w:tcPr>
            <w:tcW w:w="425" w:type="dxa"/>
            <w:vMerge w:val="restart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код вида рас</w:t>
              <w:softHyphen/>
              <w:t xml:space="preserve">хода </w:t>
            </w: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vertAlign w:val="superscript"/>
                <w:lang w:val="ru-RU" w:eastAsia="en-US" w:bidi="ar-SA"/>
              </w:rPr>
              <w:t>2)</w:t>
            </w:r>
          </w:p>
        </w:tc>
        <w:tc>
          <w:tcPr>
            <w:tcW w:w="427" w:type="dxa"/>
            <w:vMerge w:val="restart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 xml:space="preserve">код цели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vertAlign w:val="superscript"/>
                <w:lang w:val="ru-RU" w:eastAsia="en-US" w:bidi="ar-SA"/>
              </w:rPr>
              <w:t>3)</w:t>
            </w:r>
          </w:p>
        </w:tc>
        <w:tc>
          <w:tcPr>
            <w:tcW w:w="425" w:type="dxa"/>
            <w:vMerge w:val="restart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ОКТМО контр</w:t>
              <w:softHyphen/>
              <w:t xml:space="preserve">агента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vertAlign w:val="superscript"/>
                <w:lang w:val="ru-RU" w:eastAsia="en-US" w:bidi="ar-SA"/>
              </w:rPr>
              <w:t>4)</w:t>
            </w:r>
          </w:p>
        </w:tc>
        <w:tc>
          <w:tcPr>
            <w:tcW w:w="424" w:type="dxa"/>
            <w:vMerge w:val="restart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код целе</w:t>
              <w:softHyphen/>
              <w:t>вой статьи расхо</w:t>
              <w:softHyphen/>
              <w:t xml:space="preserve">дов по БК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vertAlign w:val="superscript"/>
                <w:lang w:val="ru-RU" w:eastAsia="en-US" w:bidi="ar-SA"/>
              </w:rPr>
              <w:t>5)</w:t>
            </w:r>
          </w:p>
        </w:tc>
        <w:tc>
          <w:tcPr>
            <w:tcW w:w="428" w:type="dxa"/>
            <w:vMerge w:val="restart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адми</w:t>
              <w:softHyphen/>
              <w:t>ни</w:t>
              <w:softHyphen/>
              <w:t>стра</w:t>
              <w:softHyphen/>
              <w:t>тор дохо</w:t>
              <w:softHyphen/>
              <w:t xml:space="preserve">дов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vertAlign w:val="superscript"/>
                <w:lang w:val="ru-RU" w:eastAsia="en-US" w:bidi="ar-SA"/>
              </w:rPr>
              <w:t>6)</w:t>
            </w:r>
          </w:p>
        </w:tc>
        <w:tc>
          <w:tcPr>
            <w:tcW w:w="2126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на 1 января</w:t>
            </w:r>
          </w:p>
        </w:tc>
        <w:tc>
          <w:tcPr>
            <w:tcW w:w="2145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перечислено дебитор</w:t>
              <w:softHyphen/>
              <w:t>ской задолженности прошлых лет</w:t>
            </w:r>
          </w:p>
        </w:tc>
        <w:tc>
          <w:tcPr>
            <w:tcW w:w="691" w:type="dxa"/>
            <w:vMerge w:val="restart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воз</w:t>
              <w:softHyphen/>
              <w:t>вра</w:t>
              <w:softHyphen/>
              <w:t>щено из мест</w:t>
              <w:softHyphen/>
              <w:t>ных бюд</w:t>
              <w:softHyphen/>
              <w:t>жетов и бюджета ТГВФ</w:t>
            </w:r>
          </w:p>
        </w:tc>
        <w:tc>
          <w:tcPr>
            <w:tcW w:w="709" w:type="dxa"/>
            <w:vMerge w:val="restart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воз</w:t>
              <w:softHyphen/>
              <w:t>вра</w:t>
              <w:softHyphen/>
              <w:t>щено в мест</w:t>
              <w:softHyphen/>
              <w:t>ные бюд</w:t>
              <w:softHyphen/>
              <w:t>жеты и бюджет ТГВФ</w:t>
            </w:r>
          </w:p>
        </w:tc>
        <w:tc>
          <w:tcPr>
            <w:tcW w:w="113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возвращено в федеральный бюджет</w:t>
            </w:r>
          </w:p>
        </w:tc>
        <w:tc>
          <w:tcPr>
            <w:tcW w:w="570" w:type="dxa"/>
            <w:vMerge w:val="restart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возвра</w:t>
              <w:softHyphen/>
              <w:t>щено из феде</w:t>
              <w:softHyphen/>
              <w:t>раль</w:t>
              <w:softHyphen/>
              <w:t>ного бюджета</w:t>
            </w:r>
          </w:p>
        </w:tc>
        <w:tc>
          <w:tcPr>
            <w:tcW w:w="708" w:type="dxa"/>
            <w:vMerge w:val="restart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посту</w:t>
              <w:softHyphen/>
              <w:t>пило из феде</w:t>
              <w:softHyphen/>
              <w:t>раль</w:t>
              <w:softHyphen/>
              <w:t>ного бюд</w:t>
              <w:softHyphen/>
              <w:t>жета в отчет</w:t>
              <w:softHyphen/>
              <w:t>ном периоде</w:t>
            </w:r>
          </w:p>
        </w:tc>
        <w:tc>
          <w:tcPr>
            <w:tcW w:w="568" w:type="dxa"/>
            <w:vMerge w:val="restart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возвра</w:t>
              <w:softHyphen/>
              <w:t>щено в феде</w:t>
              <w:softHyphen/>
              <w:t>ральный бюджет поступ</w:t>
              <w:softHyphen/>
              <w:t>лений теку</w:t>
              <w:softHyphen/>
              <w:t>щего года</w:t>
            </w:r>
          </w:p>
        </w:tc>
        <w:tc>
          <w:tcPr>
            <w:tcW w:w="145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кассовый расход бюд</w:t>
              <w:softHyphen/>
              <w:t>жета субъекта РФ</w:t>
            </w:r>
          </w:p>
        </w:tc>
        <w:tc>
          <w:tcPr>
            <w:tcW w:w="676" w:type="dxa"/>
            <w:vMerge w:val="restart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кассо</w:t>
              <w:softHyphen/>
              <w:t>вый расход мест</w:t>
              <w:softHyphen/>
              <w:t>ных бюдже</w:t>
              <w:softHyphen/>
              <w:t>тов и бюджета  ТГВФ</w:t>
            </w:r>
          </w:p>
        </w:tc>
        <w:tc>
          <w:tcPr>
            <w:tcW w:w="528" w:type="dxa"/>
            <w:gridSpan w:val="2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всего</w:t>
            </w:r>
          </w:p>
        </w:tc>
        <w:tc>
          <w:tcPr>
            <w:tcW w:w="130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в том числе</w:t>
            </w:r>
          </w:p>
        </w:tc>
      </w:tr>
      <w:tr>
        <w:trPr/>
        <w:tc>
          <w:tcPr>
            <w:tcW w:w="813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22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27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28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vMerge w:val="restart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всего</w:t>
            </w:r>
          </w:p>
        </w:tc>
        <w:tc>
          <w:tcPr>
            <w:tcW w:w="156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в том числе</w:t>
            </w:r>
          </w:p>
        </w:tc>
        <w:tc>
          <w:tcPr>
            <w:tcW w:w="566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все-го</w:t>
            </w:r>
          </w:p>
        </w:tc>
        <w:tc>
          <w:tcPr>
            <w:tcW w:w="157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в том числе</w:t>
            </w:r>
          </w:p>
        </w:tc>
        <w:tc>
          <w:tcPr>
            <w:tcW w:w="69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47" w:type="dxa"/>
            <w:vMerge w:val="restart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всего</w:t>
            </w:r>
          </w:p>
        </w:tc>
        <w:tc>
          <w:tcPr>
            <w:tcW w:w="58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из них взыс</w:t>
              <w:softHyphen/>
              <w:t>кано</w:t>
            </w:r>
          </w:p>
        </w:tc>
        <w:tc>
          <w:tcPr>
            <w:tcW w:w="570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02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все-го</w:t>
            </w:r>
          </w:p>
        </w:tc>
        <w:tc>
          <w:tcPr>
            <w:tcW w:w="852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ind w:left="-140" w:right="-65" w:hanging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из них пере</w:t>
              <w:softHyphen/>
              <w:t>чис</w:t>
              <w:softHyphen/>
              <w:t>лено в мест</w:t>
              <w:softHyphen/>
              <w:t>ные бюд</w:t>
              <w:softHyphen/>
              <w:t>жеты и бюд-жет ТГВФ</w:t>
            </w:r>
          </w:p>
        </w:tc>
        <w:tc>
          <w:tcPr>
            <w:tcW w:w="676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28" w:type="dxa"/>
            <w:gridSpan w:val="2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02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в бюд</w:t>
              <w:softHyphen/>
              <w:t>жете субъ</w:t>
              <w:softHyphen/>
              <w:t>екта РФ</w:t>
            </w:r>
          </w:p>
        </w:tc>
        <w:tc>
          <w:tcPr>
            <w:tcW w:w="70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ind w:left="-101" w:right="-102" w:hanging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в мест</w:t>
              <w:softHyphen/>
              <w:t>ных бюд</w:t>
              <w:softHyphen/>
              <w:t>жетах и бюд-жете ТГВФ</w:t>
            </w:r>
          </w:p>
        </w:tc>
      </w:tr>
      <w:tr>
        <w:trPr/>
        <w:tc>
          <w:tcPr>
            <w:tcW w:w="81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2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2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2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в бюд</w:t>
              <w:softHyphen/>
              <w:t>жете  субъ</w:t>
              <w:softHyphen/>
              <w:t>екта РФ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в мест</w:t>
              <w:softHyphen/>
              <w:t>ных бюдже</w:t>
              <w:softHyphen/>
              <w:t>тах и бюдже-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те ТГВФ</w:t>
            </w:r>
          </w:p>
        </w:tc>
        <w:tc>
          <w:tcPr>
            <w:tcW w:w="56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в бюд</w:t>
              <w:softHyphen/>
              <w:t>жет  субъ</w:t>
              <w:softHyphen/>
              <w:t>екта РФ</w:t>
            </w:r>
          </w:p>
        </w:tc>
        <w:tc>
          <w:tcPr>
            <w:tcW w:w="8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в мест</w:t>
              <w:softHyphen/>
              <w:t>ные бюд</w:t>
              <w:softHyphen/>
              <w:t>жеты и бюд-жет ТГВФ</w:t>
            </w:r>
          </w:p>
        </w:tc>
        <w:tc>
          <w:tcPr>
            <w:tcW w:w="69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4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8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7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6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5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7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28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8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4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4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11</w:t>
            </w:r>
          </w:p>
        </w:tc>
        <w:tc>
          <w:tcPr>
            <w:tcW w:w="7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12</w:t>
            </w:r>
          </w:p>
        </w:tc>
        <w:tc>
          <w:tcPr>
            <w:tcW w:w="8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13</w:t>
            </w:r>
          </w:p>
        </w:tc>
        <w:tc>
          <w:tcPr>
            <w:tcW w:w="6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14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15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16</w:t>
            </w:r>
          </w:p>
        </w:tc>
        <w:tc>
          <w:tcPr>
            <w:tcW w:w="5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17</w:t>
            </w:r>
          </w:p>
        </w:tc>
        <w:tc>
          <w:tcPr>
            <w:tcW w:w="5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18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19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20</w:t>
            </w:r>
          </w:p>
        </w:tc>
        <w:tc>
          <w:tcPr>
            <w:tcW w:w="6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21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22</w:t>
            </w:r>
          </w:p>
        </w:tc>
        <w:tc>
          <w:tcPr>
            <w:tcW w:w="6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23</w:t>
            </w:r>
          </w:p>
        </w:tc>
        <w:tc>
          <w:tcPr>
            <w:tcW w:w="52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24</w:t>
            </w:r>
          </w:p>
        </w:tc>
        <w:tc>
          <w:tcPr>
            <w:tcW w:w="6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25</w:t>
            </w:r>
          </w:p>
        </w:tc>
        <w:tc>
          <w:tcPr>
            <w:tcW w:w="7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26</w:t>
            </w:r>
          </w:p>
        </w:tc>
      </w:tr>
      <w:tr>
        <w:trPr>
          <w:trHeight w:val="2319" w:hRule="atLeast"/>
        </w:trPr>
        <w:tc>
          <w:tcPr>
            <w:tcW w:w="8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Сумма меж-бюджетных трансфертов, всего</w:t>
            </w:r>
          </w:p>
        </w:tc>
        <w:tc>
          <w:tcPr>
            <w:tcW w:w="4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х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х</w:t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х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х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х</w:t>
            </w:r>
          </w:p>
        </w:tc>
        <w:tc>
          <w:tcPr>
            <w:tcW w:w="4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х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х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х</w:t>
            </w:r>
          </w:p>
        </w:tc>
        <w:tc>
          <w:tcPr>
            <w:tcW w:w="8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х</w:t>
            </w:r>
          </w:p>
        </w:tc>
        <w:tc>
          <w:tcPr>
            <w:tcW w:w="5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х</w:t>
            </w:r>
          </w:p>
        </w:tc>
        <w:tc>
          <w:tcPr>
            <w:tcW w:w="5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х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х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х</w:t>
            </w:r>
          </w:p>
        </w:tc>
        <w:tc>
          <w:tcPr>
            <w:tcW w:w="6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х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2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х</w:t>
            </w:r>
          </w:p>
        </w:tc>
        <w:tc>
          <w:tcPr>
            <w:tcW w:w="7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8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в том числе по коду главы</w:t>
            </w:r>
          </w:p>
        </w:tc>
        <w:tc>
          <w:tcPr>
            <w:tcW w:w="4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х</w:t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х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х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х</w:t>
            </w:r>
          </w:p>
        </w:tc>
        <w:tc>
          <w:tcPr>
            <w:tcW w:w="4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х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х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х</w:t>
            </w:r>
          </w:p>
        </w:tc>
        <w:tc>
          <w:tcPr>
            <w:tcW w:w="8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х</w:t>
            </w:r>
          </w:p>
        </w:tc>
        <w:tc>
          <w:tcPr>
            <w:tcW w:w="5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х</w:t>
            </w:r>
          </w:p>
        </w:tc>
        <w:tc>
          <w:tcPr>
            <w:tcW w:w="5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х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х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х</w:t>
            </w:r>
          </w:p>
        </w:tc>
        <w:tc>
          <w:tcPr>
            <w:tcW w:w="6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х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2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х</w:t>
            </w:r>
          </w:p>
        </w:tc>
        <w:tc>
          <w:tcPr>
            <w:tcW w:w="7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8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из них:</w:t>
            </w:r>
          </w:p>
        </w:tc>
        <w:tc>
          <w:tcPr>
            <w:tcW w:w="4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х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х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х</w:t>
            </w:r>
          </w:p>
        </w:tc>
        <w:tc>
          <w:tcPr>
            <w:tcW w:w="8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х</w:t>
            </w:r>
          </w:p>
        </w:tc>
        <w:tc>
          <w:tcPr>
            <w:tcW w:w="5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х</w:t>
            </w:r>
          </w:p>
        </w:tc>
        <w:tc>
          <w:tcPr>
            <w:tcW w:w="5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х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х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х</w:t>
            </w:r>
          </w:p>
        </w:tc>
        <w:tc>
          <w:tcPr>
            <w:tcW w:w="6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х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2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х</w:t>
            </w:r>
          </w:p>
        </w:tc>
        <w:tc>
          <w:tcPr>
            <w:tcW w:w="7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8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х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х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х</w:t>
            </w:r>
          </w:p>
        </w:tc>
        <w:tc>
          <w:tcPr>
            <w:tcW w:w="8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х</w:t>
            </w:r>
          </w:p>
        </w:tc>
        <w:tc>
          <w:tcPr>
            <w:tcW w:w="5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х</w:t>
            </w:r>
          </w:p>
        </w:tc>
        <w:tc>
          <w:tcPr>
            <w:tcW w:w="5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х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х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х</w:t>
            </w:r>
          </w:p>
        </w:tc>
        <w:tc>
          <w:tcPr>
            <w:tcW w:w="6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х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2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х</w:t>
            </w:r>
          </w:p>
        </w:tc>
        <w:tc>
          <w:tcPr>
            <w:tcW w:w="7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8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х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х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х</w:t>
            </w:r>
          </w:p>
        </w:tc>
        <w:tc>
          <w:tcPr>
            <w:tcW w:w="8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х</w:t>
            </w:r>
          </w:p>
        </w:tc>
        <w:tc>
          <w:tcPr>
            <w:tcW w:w="5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х</w:t>
            </w:r>
          </w:p>
        </w:tc>
        <w:tc>
          <w:tcPr>
            <w:tcW w:w="5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х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х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х</w:t>
            </w:r>
          </w:p>
        </w:tc>
        <w:tc>
          <w:tcPr>
            <w:tcW w:w="6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х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2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х</w:t>
            </w:r>
          </w:p>
        </w:tc>
        <w:tc>
          <w:tcPr>
            <w:tcW w:w="7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cs="Times New Roman" w:ascii="Times New Roman" w:hAnsi="Times New Roman"/>
          <w:color w:val="000000" w:themeColor="text1"/>
          <w:sz w:val="16"/>
          <w:szCs w:val="16"/>
        </w:rPr>
      </w:r>
    </w:p>
    <w:p>
      <w:pPr>
        <w:sectPr>
          <w:type w:val="nextPage"/>
          <w:pgSz w:orient="landscape" w:w="16838" w:h="11906"/>
          <w:pgMar w:left="567" w:right="567" w:header="0" w:top="1134" w:footer="0" w:bottom="567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Расходование целевых средств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форма 0503324Ф с.2</w:t>
      </w:r>
    </w:p>
    <w:tbl>
      <w:tblPr>
        <w:tblStyle w:val="af0"/>
        <w:tblW w:w="949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89"/>
        <w:gridCol w:w="1038"/>
        <w:gridCol w:w="867"/>
        <w:gridCol w:w="1468"/>
        <w:gridCol w:w="1262"/>
        <w:gridCol w:w="1006"/>
        <w:gridCol w:w="850"/>
        <w:gridCol w:w="1416"/>
      </w:tblGrid>
      <w:tr>
        <w:trPr/>
        <w:tc>
          <w:tcPr>
            <w:tcW w:w="15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Наименование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показателя</w:t>
            </w:r>
          </w:p>
        </w:tc>
        <w:tc>
          <w:tcPr>
            <w:tcW w:w="103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Код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главы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по БК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vertAlign w:val="superscript"/>
                <w:lang w:val="ru-RU" w:eastAsia="en-US" w:bidi="ar-SA"/>
              </w:rPr>
              <w:t>1)</w:t>
            </w:r>
          </w:p>
        </w:tc>
        <w:tc>
          <w:tcPr>
            <w:tcW w:w="8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 xml:space="preserve">Код цели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vertAlign w:val="superscript"/>
                <w:lang w:val="ru-RU" w:eastAsia="en-US" w:bidi="ar-SA"/>
              </w:rPr>
              <w:t>3)</w:t>
            </w:r>
          </w:p>
        </w:tc>
        <w:tc>
          <w:tcPr>
            <w:tcW w:w="14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 xml:space="preserve">ОКТМО контрагента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vertAlign w:val="superscript"/>
                <w:lang w:val="ru-RU" w:eastAsia="en-US" w:bidi="ar-SA"/>
              </w:rPr>
              <w:t>4)</w:t>
            </w:r>
          </w:p>
        </w:tc>
        <w:tc>
          <w:tcPr>
            <w:tcW w:w="12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Код целе</w:t>
              <w:softHyphen/>
              <w:t xml:space="preserve">вой статьи расходов по 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 xml:space="preserve">БК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vertAlign w:val="superscript"/>
                <w:lang w:val="ru-RU" w:eastAsia="en-US" w:bidi="ar-SA"/>
              </w:rPr>
              <w:t>5)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Код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раздела/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подраз</w:t>
              <w:softHyphen/>
              <w:t xml:space="preserve">дела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vertAlign w:val="superscript"/>
                <w:lang w:val="ru-RU" w:eastAsia="en-US" w:bidi="ar-SA"/>
              </w:rPr>
              <w:t>7)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Код вида рас</w:t>
              <w:softHyphen/>
              <w:t>хода</w:t>
            </w: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vertAlign w:val="superscript"/>
                <w:lang w:val="ru-RU" w:eastAsia="en-US" w:bidi="ar-SA"/>
              </w:rPr>
              <w:t>8)</w:t>
            </w:r>
          </w:p>
        </w:tc>
        <w:tc>
          <w:tcPr>
            <w:tcW w:w="141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Сумма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кассового расхода</w:t>
            </w:r>
          </w:p>
        </w:tc>
      </w:tr>
      <w:tr>
        <w:trPr/>
        <w:tc>
          <w:tcPr>
            <w:tcW w:w="15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10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8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2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10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8</w:t>
            </w:r>
          </w:p>
        </w:tc>
      </w:tr>
      <w:tr>
        <w:trPr/>
        <w:tc>
          <w:tcPr>
            <w:tcW w:w="15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Расходы целе</w:t>
              <w:softHyphen/>
              <w:t>вых средств, всего:</w:t>
            </w:r>
          </w:p>
        </w:tc>
        <w:tc>
          <w:tcPr>
            <w:tcW w:w="10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х</w:t>
            </w:r>
          </w:p>
        </w:tc>
        <w:tc>
          <w:tcPr>
            <w:tcW w:w="8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х</w:t>
            </w:r>
          </w:p>
        </w:tc>
        <w:tc>
          <w:tcPr>
            <w:tcW w:w="14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х</w:t>
            </w:r>
          </w:p>
        </w:tc>
        <w:tc>
          <w:tcPr>
            <w:tcW w:w="12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х</w:t>
            </w:r>
          </w:p>
        </w:tc>
        <w:tc>
          <w:tcPr>
            <w:tcW w:w="10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х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х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5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в том числе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по коду главы</w:t>
            </w:r>
          </w:p>
        </w:tc>
        <w:tc>
          <w:tcPr>
            <w:tcW w:w="10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х</w:t>
            </w:r>
          </w:p>
        </w:tc>
        <w:tc>
          <w:tcPr>
            <w:tcW w:w="14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х</w:t>
            </w:r>
          </w:p>
        </w:tc>
        <w:tc>
          <w:tcPr>
            <w:tcW w:w="12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х</w:t>
            </w:r>
          </w:p>
        </w:tc>
        <w:tc>
          <w:tcPr>
            <w:tcW w:w="10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х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х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5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    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из них:</w:t>
            </w:r>
          </w:p>
        </w:tc>
        <w:tc>
          <w:tcPr>
            <w:tcW w:w="10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х</w:t>
            </w:r>
          </w:p>
        </w:tc>
        <w:tc>
          <w:tcPr>
            <w:tcW w:w="12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5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х</w:t>
            </w:r>
          </w:p>
        </w:tc>
        <w:tc>
          <w:tcPr>
            <w:tcW w:w="12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>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color w:val="000000" w:themeColor="text1"/>
          <w:vertAlign w:val="superscript"/>
        </w:rPr>
        <w:t>1)</w:t>
      </w:r>
      <w:r>
        <w:rPr>
          <w:rFonts w:eastAsia="Calibri" w:cs="Times New Roman" w:ascii="Times New Roman" w:hAnsi="Times New Roman"/>
        </w:rPr>
        <w:t xml:space="preserve"> Код главы по БК – установленный законом Краснодарского края о бюджете Красно</w:t>
        <w:softHyphen/>
        <w:t>дарского края код главного распорядителя средств бюджета Краснодарского края, за кото</w:t>
        <w:softHyphen/>
        <w:t>рым закреплено полномочие предоставлять межбюджетные трансферты в форме субсидий, субвенций и иных межбюджетных трансфертов, имеющих целевое</w:t>
      </w:r>
      <w:r>
        <w:rPr>
          <w:rFonts w:eastAsia="Calibri" w:cs="Times New Roman"/>
        </w:rPr>
        <w:t xml:space="preserve"> </w:t>
      </w:r>
      <w:r>
        <w:rPr>
          <w:rFonts w:eastAsia="Calibri" w:cs="Times New Roman" w:ascii="Times New Roman" w:hAnsi="Times New Roman"/>
        </w:rPr>
        <w:t>назначение (далее – целевые средства), и (или) установленный распоряжением Губернатора Краснодарского края код главного администратора доходов бюджета Краснодарского края от воз</w:t>
        <w:softHyphen/>
        <w:t>врата неиспользованных остатков целевых средств,</w:t>
      </w:r>
      <w:r>
        <w:rPr>
          <w:rFonts w:eastAsia="Calibri" w:cs="Times New Roman"/>
        </w:rPr>
        <w:t xml:space="preserve"> </w:t>
      </w:r>
      <w:r>
        <w:rPr>
          <w:rFonts w:eastAsia="Calibri" w:cs="Times New Roman" w:ascii="Times New Roman" w:hAnsi="Times New Roman"/>
        </w:rPr>
        <w:t>прошлых лет.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 w:themeColor="text1"/>
        </w:rPr>
      </w:pPr>
      <w:r>
        <w:rPr>
          <w:rFonts w:eastAsia="Calibri" w:cs="Times New Roman" w:ascii="Times New Roman" w:hAnsi="Times New Roman"/>
          <w:color w:val="000000" w:themeColor="text1"/>
          <w:vertAlign w:val="superscript"/>
        </w:rPr>
        <w:t>2)</w:t>
      </w:r>
      <w:r>
        <w:rPr>
          <w:rFonts w:eastAsia="Calibri" w:cs="Times New Roman" w:ascii="Times New Roman" w:hAnsi="Times New Roman"/>
          <w:color w:val="000000" w:themeColor="text1"/>
        </w:rPr>
        <w:t>Код вида расхода – группа, подгруппа кода вида расходов при предоставлении целевых средств.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 w:themeColor="text1"/>
        </w:rPr>
      </w:pPr>
      <w:r>
        <w:rPr>
          <w:rFonts w:eastAsia="Calibri" w:cs="Times New Roman" w:ascii="Times New Roman" w:hAnsi="Times New Roman"/>
          <w:color w:val="000000" w:themeColor="text1"/>
          <w:vertAlign w:val="superscript"/>
        </w:rPr>
        <w:t>3)</w:t>
      </w:r>
      <w:r>
        <w:rPr>
          <w:rFonts w:eastAsia="Calibri" w:cs="Times New Roman" w:ascii="Times New Roman" w:hAnsi="Times New Roman"/>
          <w:color w:val="000000" w:themeColor="text1"/>
        </w:rPr>
        <w:t>Код цели – код цели в соответствии с Информацией об аналитических кодах, ис</w:t>
        <w:softHyphen/>
        <w:t>пользуемых Федеральным казначейством в целях санкционирования операций с целевыми расходами.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 w:themeColor="text1"/>
        </w:rPr>
      </w:pPr>
      <w:r>
        <w:rPr>
          <w:rFonts w:eastAsia="Calibri" w:cs="Times New Roman" w:ascii="Times New Roman" w:hAnsi="Times New Roman"/>
          <w:color w:val="000000" w:themeColor="text1"/>
          <w:vertAlign w:val="superscript"/>
        </w:rPr>
        <w:t>4)</w:t>
      </w:r>
      <w:r>
        <w:rPr>
          <w:rFonts w:eastAsia="Calibri" w:cs="Times New Roman" w:ascii="Times New Roman" w:hAnsi="Times New Roman"/>
          <w:color w:val="000000" w:themeColor="text1"/>
        </w:rPr>
        <w:t>ОКТМО контрагента – не заполняется.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FF0000"/>
          <w:lang w:eastAsia="ru-RU"/>
        </w:rPr>
      </w:pPr>
      <w:r>
        <w:rPr>
          <w:rFonts w:eastAsia="Calibri" w:cs="Times New Roman" w:ascii="Times New Roman" w:hAnsi="Times New Roman"/>
          <w:color w:val="000000" w:themeColor="text1"/>
          <w:vertAlign w:val="superscript"/>
        </w:rPr>
        <w:t>5)</w:t>
      </w:r>
      <w:r>
        <w:rPr>
          <w:rFonts w:eastAsia="Calibri" w:cs="Times New Roman" w:ascii="Times New Roman" w:hAnsi="Times New Roman"/>
          <w:color w:val="000000" w:themeColor="text1"/>
        </w:rPr>
        <w:t xml:space="preserve">Код целевой статьи расходов по БК – </w:t>
      </w:r>
      <w:r>
        <w:rPr>
          <w:rFonts w:eastAsia="Times New Roman" w:cs="Times New Roman" w:ascii="Times New Roman" w:hAnsi="Times New Roman"/>
          <w:color w:val="000000" w:themeColor="text1"/>
          <w:lang w:eastAsia="ru-RU"/>
        </w:rPr>
        <w:t>указыва</w:t>
        <w:softHyphen/>
        <w:t>ется код целевой статьи расходов бюджета Краснодарского края, по кото</w:t>
        <w:softHyphen/>
        <w:t>рой предоставлялись целевые средства.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color w:val="000000" w:themeColor="text1"/>
        </w:rPr>
      </w:pPr>
      <w:r>
        <w:rPr>
          <w:rFonts w:eastAsia="Calibri" w:cs="Times New Roman" w:ascii="Times New Roman" w:hAnsi="Times New Roman"/>
          <w:color w:val="FF0000"/>
        </w:rPr>
        <w:tab/>
      </w:r>
      <w:r>
        <w:rPr>
          <w:rFonts w:eastAsia="Calibri" w:cs="Times New Roman" w:ascii="Times New Roman" w:hAnsi="Times New Roman"/>
          <w:color w:val="000000" w:themeColor="text1"/>
          <w:vertAlign w:val="superscript"/>
        </w:rPr>
        <w:t>6)</w:t>
      </w:r>
      <w:r>
        <w:rPr>
          <w:rFonts w:eastAsia="Calibri" w:cs="Times New Roman" w:ascii="Times New Roman" w:hAnsi="Times New Roman"/>
          <w:color w:val="000000" w:themeColor="text1"/>
        </w:rPr>
        <w:t xml:space="preserve">Администратор доходов – код главного администратора доходов местного бюджета от предоставления межбюджетных трансфертов. 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lang w:eastAsia="ru-RU"/>
        </w:rPr>
      </w:pPr>
      <w:r>
        <w:rPr>
          <w:rFonts w:eastAsia="Calibri" w:cs="Times New Roman" w:ascii="Times New Roman" w:hAnsi="Times New Roman"/>
          <w:color w:val="000000" w:themeColor="text1"/>
          <w:vertAlign w:val="superscript"/>
        </w:rPr>
        <w:t>7)</w:t>
      </w:r>
      <w:r>
        <w:rPr>
          <w:rFonts w:eastAsia="Calibri" w:cs="Times New Roman" w:ascii="Times New Roman" w:hAnsi="Times New Roman"/>
          <w:color w:val="000000" w:themeColor="text1"/>
        </w:rPr>
        <w:t>Код раздела/подраздела – код классификации расходов бюджетов, по которому про</w:t>
        <w:softHyphen/>
        <w:t>изведены кассовые расходы, источником финансового обеспечения которых являются целе</w:t>
        <w:softHyphen/>
        <w:t>вые средства.</w:t>
      </w:r>
      <w:r>
        <w:rPr>
          <w:rFonts w:eastAsia="Times New Roman" w:cs="Times New Roman" w:ascii="Times New Roman" w:hAnsi="Times New Roman"/>
          <w:color w:val="000000" w:themeColor="text1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 w:themeColor="text1"/>
        </w:rPr>
      </w:pPr>
      <w:r>
        <w:rPr>
          <w:rFonts w:eastAsia="Calibri" w:cs="Times New Roman" w:ascii="Times New Roman" w:hAnsi="Times New Roman"/>
          <w:color w:val="000000" w:themeColor="text1"/>
          <w:vertAlign w:val="superscript"/>
        </w:rPr>
        <w:t>8)</w:t>
      </w:r>
      <w:r>
        <w:rPr>
          <w:rFonts w:eastAsia="Calibri" w:cs="Times New Roman" w:ascii="Times New Roman" w:hAnsi="Times New Roman"/>
          <w:color w:val="000000" w:themeColor="text1"/>
        </w:rPr>
        <w:t xml:space="preserve">Код вида расхода – детализированный код классификации расходов бюджетов, по которому произведены кассовые расходы, источником финансового обеспечения которых являются целевые средства.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Руководитель                                       __________________                     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</w:rPr>
        <w:t>(подпись)                                     (расшифровка подписи)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Руководитель финансово-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экономической службы                      __________________                     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</w:t>
      </w:r>
      <w:r>
        <w:rPr>
          <w:rFonts w:cs="Times New Roman" w:ascii="Times New Roman" w:hAnsi="Times New Roman"/>
        </w:rPr>
        <w:t>(подпись)                                     (расшифровка подписи)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Главный бухгалтер                             __________________                     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</w:t>
      </w:r>
      <w:r>
        <w:rPr>
          <w:rFonts w:cs="Times New Roman" w:ascii="Times New Roman" w:hAnsi="Times New Roman"/>
        </w:rPr>
        <w:t>(подпись)                                      (расшифровка подписи)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«___» ___________ 20 ___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eastAsia="Batang" w:cs="Arial" w:ascii="Times New Roman" w:hAnsi="Times New Roman"/>
          <w:sz w:val="28"/>
          <w:szCs w:val="28"/>
        </w:rPr>
        <w:t xml:space="preserve">Главный специалист – главный бухгалтер 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eastAsia="Batang" w:cs="Arial" w:ascii="Times New Roman" w:hAnsi="Times New Roman"/>
          <w:sz w:val="28"/>
          <w:szCs w:val="28"/>
        </w:rPr>
        <w:t>администрации Воздвиженского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Batang" w:cs="Arial" w:ascii="Times New Roman" w:hAnsi="Times New Roman"/>
          <w:sz w:val="28"/>
          <w:szCs w:val="28"/>
        </w:rPr>
        <w:t>сельского поселения</w:t>
        <w:tab/>
        <w:t xml:space="preserve">                                                                     </w:t>
      </w:r>
      <w:bookmarkStart w:id="0" w:name="_GoBack"/>
      <w:bookmarkEnd w:id="0"/>
      <w:r>
        <w:rPr>
          <w:rFonts w:eastAsia="Batang" w:cs="Arial" w:ascii="Times New Roman" w:hAnsi="Times New Roman"/>
          <w:sz w:val="28"/>
          <w:szCs w:val="28"/>
        </w:rPr>
        <w:t xml:space="preserve"> Н.В. Лоскутова</w:t>
      </w:r>
    </w:p>
    <w:sectPr>
      <w:headerReference w:type="default" r:id="rId2"/>
      <w:type w:val="nextPage"/>
      <w:pgSz w:w="11906" w:h="16838"/>
      <w:pgMar w:left="1701" w:right="624" w:header="567" w:top="1134" w:footer="0" w:bottom="709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545559358"/>
    </w:sdtPr>
    <w:sdtContent>
      <w:p>
        <w:pPr>
          <w:pStyle w:val="Style24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cs="Times New Roman" w:ascii="Times New Roman" w:hAnsi="Times New Roman"/>
            <w:sz w:val="28"/>
            <w:szCs w:val="28"/>
          </w:rPr>
        </w:r>
      </w:p>
      <w:p>
        <w:pPr>
          <w:pStyle w:val="Style24"/>
          <w:rPr/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841104"/>
    <w:rPr/>
  </w:style>
  <w:style w:type="character" w:styleId="Style15" w:customStyle="1">
    <w:name w:val="Нижний колонтитул Знак"/>
    <w:basedOn w:val="DefaultParagraphFont"/>
    <w:uiPriority w:val="99"/>
    <w:qFormat/>
    <w:rsid w:val="00841104"/>
    <w:rPr/>
  </w:style>
  <w:style w:type="character" w:styleId="Style16" w:customStyle="1">
    <w:name w:val="Текст выноски Знак"/>
    <w:basedOn w:val="DefaultParagraphFont"/>
    <w:uiPriority w:val="99"/>
    <w:semiHidden/>
    <w:qFormat/>
    <w:rsid w:val="00ad4c7e"/>
    <w:rPr>
      <w:rFonts w:ascii="Tahoma" w:hAnsi="Tahoma" w:cs="Tahoma"/>
      <w:sz w:val="16"/>
      <w:szCs w:val="16"/>
    </w:rPr>
  </w:style>
  <w:style w:type="character" w:styleId="Pagenumber">
    <w:name w:val="page number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uiPriority w:val="99"/>
    <w:unhideWhenUsed/>
    <w:rsid w:val="0084110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uiPriority w:val="99"/>
    <w:unhideWhenUsed/>
    <w:rsid w:val="0084110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uiPriority w:val="99"/>
    <w:semiHidden/>
    <w:unhideWhenUsed/>
    <w:qFormat/>
    <w:rsid w:val="00ad4c7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568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146c5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57EC7-0C51-4CC3-A1F7-5C23F2A71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LibreOffice/7.1.5.2$Windows_X86_64 LibreOffice_project/85f04e9f809797b8199d13c421bd8a2b025d52b5</Application>
  <AppVersion>15.0000</AppVersion>
  <Pages>3</Pages>
  <Words>602</Words>
  <Characters>3775</Characters>
  <CharactersWithSpaces>5542</CharactersWithSpaces>
  <Paragraphs>212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Н.В.</dc:creator>
  <dc:description/>
  <dc:language>ru-RU</dc:language>
  <cp:lastModifiedBy/>
  <dcterms:modified xsi:type="dcterms:W3CDTF">2023-01-17T13:47:32Z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