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РАСПОРЯЖЕНИЕ</w:t>
      </w:r>
    </w:p>
    <w:p>
      <w:pPr>
        <w:pStyle w:val="Normal"/>
        <w:widowControl/>
        <w:suppressAutoHyphens w:val="false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>от 09.01.202</w:t>
      </w:r>
      <w:r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№ 0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-Р</w:t>
      </w:r>
    </w:p>
    <w:p>
      <w:pPr>
        <w:pStyle w:val="Normal"/>
        <w:widowControl/>
        <w:shd w:val="clear" w:color="auto" w:fill="FFFFFF"/>
        <w:suppressAutoHyphens w:val="false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станица Воздвиженская</w:t>
      </w:r>
    </w:p>
    <w:p>
      <w:pPr>
        <w:pStyle w:val="Normal"/>
        <w:shd w:val="clear" w:color="auto" w:fill="FFFFFF"/>
        <w:jc w:val="center"/>
        <w:rPr>
          <w:rFonts w:eastAsia="Andale Sans UI"/>
          <w:kern w:val="2"/>
          <w:szCs w:val="29"/>
        </w:rPr>
      </w:pPr>
      <w:r>
        <w:rPr>
          <w:rFonts w:eastAsia="Andale Sans UI"/>
          <w:b/>
          <w:kern w:val="2"/>
          <w:sz w:val="28"/>
          <w:szCs w:val="29"/>
        </w:rPr>
      </w:r>
    </w:p>
    <w:p>
      <w:pPr>
        <w:pStyle w:val="Normal"/>
        <w:shd w:val="clear" w:color="auto" w:fill="FFFFFF"/>
        <w:jc w:val="center"/>
        <w:rPr>
          <w:rFonts w:eastAsia="Andale Sans UI"/>
          <w:kern w:val="2"/>
          <w:szCs w:val="29"/>
        </w:rPr>
      </w:pPr>
      <w:r>
        <w:rPr>
          <w:rFonts w:eastAsia="Andale Sans UI"/>
          <w:kern w:val="2"/>
          <w:szCs w:val="29"/>
        </w:rPr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составлении и сроках </w:t>
      </w:r>
      <w:r>
        <w:rPr>
          <w:b/>
          <w:bCs/>
          <w:color w:val="000000"/>
          <w:sz w:val="28"/>
          <w:szCs w:val="28"/>
        </w:rPr>
        <w:t xml:space="preserve">представления </w:t>
      </w:r>
      <w:r>
        <w:rPr>
          <w:b/>
          <w:color w:val="000000"/>
          <w:sz w:val="28"/>
          <w:szCs w:val="28"/>
        </w:rPr>
        <w:t>годовой отчетности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исполнении консолидированного бюджета Воздвиженского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2023 год и утверждении состава и сроков представления 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квартальной, месячной отчетности в 2024 году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264.3 Бюджетного кодекса Российской Федерации, приказом Министерства финансов Краснодарского края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>от 20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2023 </w:t>
      </w:r>
      <w:r>
        <w:rPr>
          <w:sz w:val="28"/>
          <w:szCs w:val="28"/>
        </w:rPr>
        <w:t>г. № 471 «</w:t>
      </w:r>
      <w:r>
        <w:rPr>
          <w:color w:val="000000"/>
          <w:sz w:val="28"/>
          <w:szCs w:val="28"/>
        </w:rPr>
        <w:t xml:space="preserve">О составлении и сроках </w:t>
      </w:r>
      <w:r>
        <w:rPr>
          <w:bCs/>
          <w:color w:val="000000"/>
          <w:sz w:val="28"/>
          <w:szCs w:val="28"/>
        </w:rPr>
        <w:t xml:space="preserve">представления </w:t>
      </w:r>
      <w:r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2023 год и утверждении состава и сроков представления квартальной, месячной отчетности в 2024 году»,</w:t>
      </w:r>
      <w:r>
        <w:rPr>
          <w:sz w:val="28"/>
          <w:szCs w:val="28"/>
        </w:rPr>
        <w:t xml:space="preserve"> а также в целях составления отчетности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об исполнении консолидированного бюджета Воздвиженского сельского поселения Курганинского района (далее - бюджетная отчетность) финансовым отделом администрации Воздвиженского сельского поселения Курганинского района, и своевременного представления их в финансовое управление муниципального образования Курганинский район (далее - финансовое управление):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порядок составления и перечень форм годовой, квартальной и месячной отчетности в соответствии с требованиями: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от 28.12.2010 г. № </w:t>
      </w:r>
      <w:r>
        <w:rPr>
          <w:bCs/>
          <w:sz w:val="28"/>
          <w:szCs w:val="28"/>
        </w:rPr>
        <w:t xml:space="preserve">191н </w:t>
      </w:r>
      <w:r>
        <w:rPr>
          <w:sz w:val="28"/>
          <w:szCs w:val="28"/>
        </w:rPr>
        <w:t>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- для участников бюджетного процесса;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 г.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 г. №260н «Об утверждении федерального стандарта бухгалтерского учета для организаций государственного сектора Представление бухгалтерской (финансовой) отчетности»;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30 октября 2020 г. № 255н «Об утверждении федерального стандарта бухгалтерского учета государственных финансов «Консолидированная бухгалтерская (финансовая) отчетности»;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Министерства финансов Российской Федерации 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от 31 января 2011 г. №06-02-10/3-978 «О порядке заполнения и представления Справочной таблицы к отчету об исполнении консолидированного бюджета»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(с учетом изменений).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>Утвердить:</w:t>
      </w:r>
    </w:p>
    <w:p>
      <w:pPr>
        <w:pStyle w:val="21"/>
        <w:shd w:val="clear" w:color="auto" w:fill="auto"/>
        <w:tabs>
          <w:tab w:val="clear" w:pos="720"/>
          <w:tab w:val="left" w:pos="916" w:leader="none"/>
          <w:tab w:val="left" w:pos="2842" w:leader="none"/>
          <w:tab w:val="left" w:pos="3756" w:leader="none"/>
          <w:tab w:val="left" w:pos="5733" w:leader="none"/>
          <w:tab w:val="left" w:pos="7918" w:leader="none"/>
        </w:tabs>
        <w:spacing w:lineRule="exact" w:line="306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сроки представления сводной годовой бюджетной отчетности, представляемой Воздвиженским сельским поселением в электронном виде и на бумажных носителях в финансовое управление муниципального образования Курганинский район </w:t>
      </w:r>
      <w:r>
        <w:rPr>
          <w:sz w:val="28"/>
          <w:szCs w:val="28"/>
          <w:shd w:fill="auto" w:val="clear"/>
        </w:rPr>
        <w:t>(приложение № 1)  - не</w:t>
      </w:r>
      <w:r>
        <w:rPr>
          <w:sz w:val="28"/>
          <w:szCs w:val="28"/>
        </w:rPr>
        <w:t xml:space="preserve"> позднее 6 февраля 2024 года;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0503324К 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(далее - ф.0503324К) </w:t>
      </w:r>
      <w:r>
        <w:rPr>
          <w:sz w:val="28"/>
          <w:szCs w:val="28"/>
          <w:shd w:fill="auto" w:val="clear"/>
        </w:rPr>
        <w:t>(приложение 2).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- форму 0503324Ф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(приложение 3).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245" w:leader="none"/>
        </w:tabs>
        <w:spacing w:lineRule="exact" w:line="302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spacing w:val="2"/>
          <w:sz w:val="28"/>
          <w:szCs w:val="28"/>
        </w:rPr>
        <w:t>Начальнику финансового отдела Дивеевой И.В. и главному специалисту – главному бухгалтеру Лоскутовой Н.В. организовать работу специалистов, участвующих в подготовке бюджетной и бухгалтерской отчетности.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765" w:leader="none"/>
        </w:tabs>
        <w:spacing w:lineRule="exact" w:line="302"/>
        <w:ind w:right="36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4.Главному специалисту – главному бухгалтеру Лоскутовой Н.В. обеспечить: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765" w:leader="none"/>
        </w:tabs>
        <w:spacing w:lineRule="exact" w:line="302"/>
        <w:ind w:right="3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18"/>
        <w:rPr/>
      </w:pPr>
      <w:r>
        <w:rPr/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tru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сверку показателей годовой поступлений и выбытий бюджетной отчетности с данными отчетности отделения Федерального казначейства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по Курганинскому району;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дополнительных форм годовой  и квартальной бюджетной отчетности согласно </w:t>
      </w:r>
      <w:r>
        <w:rPr>
          <w:sz w:val="28"/>
          <w:szCs w:val="28"/>
          <w:shd w:fill="auto" w:val="clear"/>
        </w:rPr>
        <w:t xml:space="preserve">приложения 2,3 </w:t>
      </w:r>
      <w:r>
        <w:rPr>
          <w:sz w:val="28"/>
          <w:szCs w:val="28"/>
        </w:rPr>
        <w:t xml:space="preserve">к настоящему распоряжению; 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и достоверность предоставления форм бюджетной отчетности в финансовое управление муниципального образования Курганинский район.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245" w:leader="none"/>
        </w:tabs>
        <w:spacing w:lineRule="exact" w:line="302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2"/>
          <w:sz w:val="28"/>
          <w:szCs w:val="28"/>
        </w:rPr>
        <w:t xml:space="preserve">Начальнику финансового отдела Дивеевой И.В. и главному бухгалтеру Лоскутовой Н.В. </w:t>
      </w:r>
      <w:r>
        <w:rPr>
          <w:sz w:val="28"/>
          <w:szCs w:val="28"/>
        </w:rPr>
        <w:t xml:space="preserve">обеспечить качественное составление годовой, квартальной и месячной бюджетной </w:t>
      </w:r>
      <w:r>
        <w:rPr>
          <w:bCs/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об исполнении бюджетов, пояснительных записок </w:t>
      </w:r>
      <w:r>
        <w:rPr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ним и </w:t>
      </w:r>
      <w:r>
        <w:rPr>
          <w:bCs/>
          <w:sz w:val="28"/>
          <w:szCs w:val="28"/>
        </w:rPr>
        <w:t>представление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в установленный срок.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3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Формировать свод показателей в форме 0503164 «Сведения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об исполнении бюджета» с учетом требований пункта 163 Инструкции 191н, при этом в  графе  9 раздела  1  «Доходы бюджета», 3 «Источники финансирования дефицита бюджета» отражаются соответственно код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и наименование причины, повлиявшей на наличие отклонений от планового процента исполнения на отчетную дату, согласно перечню, установленному </w:t>
      </w:r>
      <w:r>
        <w:rPr>
          <w:sz w:val="28"/>
          <w:szCs w:val="28"/>
          <w:shd w:fill="auto" w:val="clear"/>
        </w:rPr>
        <w:t xml:space="preserve">приложением 4 к </w:t>
      </w:r>
      <w:r>
        <w:rPr>
          <w:sz w:val="28"/>
          <w:szCs w:val="28"/>
        </w:rPr>
        <w:t xml:space="preserve">настоящему распоряжению;  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-формировать свод показателей в форме 0503169 «Сведения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но дебиторской и кредиторской задолженности» в разделе 2 «Сведения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о просроченной задолженности» с учетом детализации показателей,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по правовому основанию. При этом графы 5-8 раздела 2 «Сведения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 xml:space="preserve">о просроченной задолженности» заполняются в случае наличия просроченной задолженности по номеру счета бюджетного учета в сумме более 500 000 (пятисот тысяч) рублей по контрагенту на соответствующую дату возникновения задолженности и дату исполнения по правовому основанию,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с указанием кодов и причин образования просроченной задолженности, установленных пунктом 167 Инструкции 191н;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формировать свод показателей в форме 0503171 «Сведения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о финансовых вложениях получателя бюджетных средств, администратора источников финансирования дефицита бюджета" - по всем показателям, без установления дополнительных критериев (размер финансового вложения, вид финансового вложения, иные критерии);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формировать свод показателей в форме 0503172 «Сведения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о государственном (муниципальном) долге, представленных бюджетных кредитах», в разделе 3 «Аналитическая информация о государственном (муниципальном) долге, представленных бюджетных кредитах» -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- формировать свод показателей в форме 0503175 «Сведения о принятых и неисполненных обязательствах получателя бюджетных средств»: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-  в разделах 1 «Сведения о неисполненных бюджетных обязательствах», 2 «Сведения о неисполненных денежных обязательствах»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в разрезе номеров счетов бюджетного учета, даты возникновения обязательства, даты исполнения по правовому основанию без раскрытия информации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по контрагентам в графах 5, 6, с указанием в графах 7, 8 кодов и причин неисполнения обязательств, установленных пунктом 170.2 Инструкции 191н;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- в разделе 3 «Сведения о бюджетных обязательствах, принятых сверх 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кодов и причин принятия бюджетных обязательств сверх утвержденных (доведенных) бюджетных данных: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01 – принятие обязательств в рамках исполнения судебных актов;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02 – применение в отношении участника бюджетного процесса административного наказания в виде административного штрафа;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99- иные причины;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- формирование формы 0503324К «Отчет об использовании межбюджетных трансфертов из бюджета Краснодарского края муниципальными образованиями и территориальным государственным внебюджетным фондом» осуществляется без заполнения графы 5 «ОКТМО контрагента».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разделе 3 «Анализ причин образования остатков целевых средств» ф. 0503324К по состоянию на 1 января 2024 года, в графах 5 и 6 отражаются соответственно код и наименование причины образования остатка целевых средств: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01 - уменьшение фактической численности получателей средств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по сравнению с запланированной;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02  -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03 – поступление от возврата остатков, образовавшихся за счет восстановленной в текущем году дебиторской задолженности прошлых лет;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04 – иные причины, не отнесенные к причинам 01-03.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Раздел 3 «Анализ причин образования остатков целевых средств»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ф. 0503324К по состоянию на 1 апреля 2024 года, 1 июля 2024 года,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>1 октября 2024 года не заполняется.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Детальное описание причин образования остатка целевых средств указывается в текстовой части ф. 0503160 «Пояснительная записка».9 – иные причины.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Установить сроки </w:t>
      </w:r>
      <w:r>
        <w:rPr>
          <w:bCs/>
          <w:sz w:val="28"/>
          <w:szCs w:val="28"/>
        </w:rPr>
        <w:t>представления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квартальной бюджетной отчетности в</w:t>
      </w:r>
      <w:r>
        <w:rPr>
          <w:bCs/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году согласно </w:t>
      </w:r>
      <w:r>
        <w:rPr>
          <w:sz w:val="28"/>
          <w:szCs w:val="28"/>
          <w:shd w:fill="auto" w:val="clear"/>
        </w:rPr>
        <w:t xml:space="preserve">приложению 5 </w:t>
      </w:r>
      <w:r>
        <w:rPr>
          <w:sz w:val="28"/>
          <w:szCs w:val="28"/>
        </w:rPr>
        <w:t>к настоящему распоряжению.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Установить срок представления месячной бюджетной отчетности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в 2024 году согласно</w:t>
      </w:r>
      <w:r>
        <w:rPr>
          <w:sz w:val="28"/>
          <w:szCs w:val="28"/>
          <w:shd w:fill="auto" w:val="clear"/>
        </w:rPr>
        <w:t xml:space="preserve"> приложению 6 к</w:t>
      </w:r>
      <w:r>
        <w:rPr>
          <w:sz w:val="28"/>
          <w:szCs w:val="28"/>
        </w:rPr>
        <w:t xml:space="preserve"> настоящему приказу.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387" w:leader="none"/>
        </w:tabs>
        <w:ind w:left="0" w:firstLine="8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sz w:val="28"/>
          <w:szCs w:val="28"/>
        </w:rPr>
        <w:t xml:space="preserve"> Обеспечить организацию работы по составлению и представлению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в ус</w:t>
      </w:r>
      <w:r>
        <w:rPr>
          <w:spacing w:val="2"/>
          <w:sz w:val="28"/>
          <w:szCs w:val="28"/>
        </w:rPr>
        <w:t>тановленный срок в финансовое управление муниципального образования Курганинский район годовой, квартальной,   месяч</w:t>
      </w:r>
      <w:r>
        <w:rPr>
          <w:sz w:val="28"/>
          <w:szCs w:val="28"/>
        </w:rPr>
        <w:t xml:space="preserve">ной отчетности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об исполнении </w:t>
      </w:r>
      <w:r>
        <w:rPr>
          <w:bCs/>
          <w:sz w:val="28"/>
          <w:szCs w:val="28"/>
        </w:rPr>
        <w:t>консолидированного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Воздвиженского сельского поселения </w:t>
      </w:r>
      <w:r>
        <w:rPr>
          <w:spacing w:val="2"/>
          <w:sz w:val="28"/>
          <w:szCs w:val="28"/>
        </w:rPr>
        <w:t xml:space="preserve"> Курганинского района.</w:t>
      </w:r>
    </w:p>
    <w:p>
      <w:pPr>
        <w:pStyle w:val="Normal"/>
        <w:shd w:val="clear" w:color="auto" w:fill="FFFFFF"/>
        <w:spacing w:lineRule="exact" w:line="302"/>
        <w:ind w:left="72" w:right="38" w:firstLine="725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pacing w:val="-1"/>
          <w:sz w:val="28"/>
          <w:szCs w:val="28"/>
        </w:rPr>
        <w:t xml:space="preserve">Признать утратившим силу распоряжение администрации Воздвиженского сельского поселения Курганинский  район от 09 января </w:t>
      </w:r>
      <w:r>
        <w:rPr>
          <w:spacing w:val="-1"/>
          <w:sz w:val="28"/>
          <w:szCs w:val="28"/>
          <w:lang w:val="ru-RU"/>
        </w:rPr>
        <w:t xml:space="preserve">     </w:t>
      </w:r>
      <w:r>
        <w:rPr>
          <w:spacing w:val="-1"/>
          <w:sz w:val="28"/>
          <w:szCs w:val="28"/>
        </w:rPr>
        <w:t xml:space="preserve">2023 года № 05-Р </w:t>
      </w:r>
      <w:r>
        <w:rPr>
          <w:b/>
          <w:spacing w:val="3"/>
          <w:sz w:val="28"/>
          <w:szCs w:val="28"/>
        </w:rPr>
        <w:t>«</w:t>
      </w:r>
      <w:r>
        <w:rPr>
          <w:b w:val="false"/>
          <w:bCs w:val="false"/>
          <w:color w:val="000000"/>
          <w:spacing w:val="3"/>
          <w:sz w:val="28"/>
          <w:szCs w:val="28"/>
        </w:rPr>
        <w:t xml:space="preserve">О составлении и сроках представления годовой отчетности </w:t>
      </w:r>
      <w:r>
        <w:rPr>
          <w:b w:val="false"/>
          <w:bCs w:val="false"/>
          <w:color w:val="000000"/>
          <w:sz w:val="28"/>
          <w:szCs w:val="28"/>
        </w:rPr>
        <w:t xml:space="preserve">об исполнении консолидированного бюджета Воздвиженского сельского поселения Курганинского района за 2022 год и утверждении состава и сроков представления </w:t>
      </w:r>
      <w:r>
        <w:rPr>
          <w:b w:val="false"/>
          <w:bCs w:val="false"/>
          <w:color w:val="000000"/>
          <w:spacing w:val="2"/>
          <w:sz w:val="28"/>
          <w:szCs w:val="28"/>
        </w:rPr>
        <w:t>квартальной, месячной отчетности в 2023 году</w:t>
      </w:r>
      <w:r>
        <w:rPr>
          <w:spacing w:val="2"/>
          <w:sz w:val="28"/>
          <w:szCs w:val="28"/>
        </w:rPr>
        <w:t>».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245" w:leader="none"/>
        </w:tabs>
        <w:spacing w:lineRule="exact" w:line="302"/>
        <w:ind w:firstLine="709"/>
        <w:jc w:val="both"/>
        <w:rPr>
          <w:spacing w:val="-18"/>
          <w:sz w:val="28"/>
          <w:szCs w:val="28"/>
        </w:rPr>
      </w:pPr>
      <w:r>
        <w:rPr>
          <w:spacing w:val="2"/>
          <w:sz w:val="28"/>
          <w:szCs w:val="28"/>
        </w:rPr>
        <w:t>11.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</w:rPr>
        <w:t>Главному бухгалтеру Лоскутовой Н.В. обеспечить размещение настоящего распоряжения на официальном сайте Администрации Воздвиженского сельского поселения Курганинского района.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387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Контроль за выполнением настоящего распоряжения оставляю </w:t>
      </w:r>
      <w:r>
        <w:rPr>
          <w:color w:val="000000"/>
          <w:sz w:val="28"/>
          <w:szCs w:val="28"/>
          <w:lang w:val="ru-RU"/>
        </w:rPr>
        <w:t xml:space="preserve">          </w:t>
      </w:r>
      <w:r>
        <w:rPr>
          <w:color w:val="000000"/>
          <w:sz w:val="28"/>
          <w:szCs w:val="28"/>
        </w:rPr>
        <w:t>за собой.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066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Распоряжение вступает в силу со дня его подписания.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Normal"/>
        <w:tabs>
          <w:tab w:val="clear" w:pos="720"/>
          <w:tab w:val="left" w:pos="6030" w:leader="none"/>
        </w:tabs>
        <w:rPr>
          <w:sz w:val="28"/>
          <w:szCs w:val="28"/>
        </w:rPr>
      </w:pPr>
      <w:r>
        <w:rPr>
          <w:sz w:val="28"/>
          <w:szCs w:val="28"/>
        </w:rPr>
        <w:t>Курганинск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а</w:t>
      </w:r>
      <w:bookmarkStart w:id="2" w:name="_GoBack1"/>
      <w:bookmarkEnd w:id="2"/>
      <w:r>
        <w:rPr>
          <w:sz w:val="28"/>
          <w:szCs w:val="28"/>
        </w:rPr>
        <w:tab/>
        <w:t xml:space="preserve">                     С.А. Курбатов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continuous"/>
      <w:pgSz w:w="11906" w:h="16838"/>
      <w:pgMar w:left="1701" w:right="567" w:header="0" w:top="1134" w:footer="0" w:bottom="1134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5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/>
    <w:lsdException w:name="footer" w:uiPriority="0" w:semiHidden="0" w:unhideWhenUsed="0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 w:semiHidden="0" w:unhideWhenUsed="0"/>
    <w:lsdException w:name="Table Subtle 2" w:uiPriority="99"/>
    <w:lsdException w:name="Table Web 1" w:uiPriority="99"/>
    <w:lsdException w:name="Table Web 2" w:uiPriority="99" w:semiHidden="0" w:unhideWhenUsed="0"/>
    <w:lsdException w:name="Table Web 3" w:uiPriority="99" w:semiHidden="0" w:unhideWhenUsed="0"/>
    <w:lsdException w:name="Balloon Text" w:uiPriority="0" w:semiHidden="0" w:unhideWhenUsed="0" w:qFormat="1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0"/>
    <w:qFormat/>
    <w:rPr>
      <w:sz w:val="28"/>
      <w:szCs w:val="28"/>
    </w:rPr>
  </w:style>
  <w:style w:type="character" w:styleId="WW8Num2z0" w:customStyle="1">
    <w:name w:val="WW8Num2z0"/>
    <w:uiPriority w:val="0"/>
    <w:qFormat/>
    <w:rPr>
      <w:rFonts w:ascii="Times New Roman" w:hAnsi="Times New Roman" w:cs="Times New Roman"/>
      <w:spacing w:val="-2"/>
      <w:sz w:val="28"/>
      <w:szCs w:val="28"/>
    </w:rPr>
  </w:style>
  <w:style w:type="character" w:styleId="WW8Num3z0" w:customStyle="1">
    <w:name w:val="WW8Num3z0"/>
    <w:uiPriority w:val="0"/>
    <w:qFormat/>
    <w:rPr>
      <w:rFonts w:ascii="Times New Roman" w:hAnsi="Times New Roman" w:cs="Times New Roman"/>
      <w:spacing w:val="-1"/>
      <w:sz w:val="28"/>
      <w:szCs w:val="28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4z1" w:customStyle="1">
    <w:name w:val="WW8Num4z1"/>
    <w:uiPriority w:val="0"/>
    <w:qFormat/>
    <w:rPr/>
  </w:style>
  <w:style w:type="character" w:styleId="WW8Num4z2" w:customStyle="1">
    <w:name w:val="WW8Num4z2"/>
    <w:uiPriority w:val="0"/>
    <w:qFormat/>
    <w:rPr/>
  </w:style>
  <w:style w:type="character" w:styleId="WW8Num4z3" w:customStyle="1">
    <w:name w:val="WW8Num4z3"/>
    <w:uiPriority w:val="0"/>
    <w:qFormat/>
    <w:rPr/>
  </w:style>
  <w:style w:type="character" w:styleId="WW8Num4z4" w:customStyle="1">
    <w:name w:val="WW8Num4z4"/>
    <w:uiPriority w:val="0"/>
    <w:qFormat/>
    <w:rPr/>
  </w:style>
  <w:style w:type="character" w:styleId="WW8Num4z5" w:customStyle="1">
    <w:name w:val="WW8Num4z5"/>
    <w:uiPriority w:val="0"/>
    <w:qFormat/>
    <w:rPr/>
  </w:style>
  <w:style w:type="character" w:styleId="WW8Num4z6" w:customStyle="1">
    <w:name w:val="WW8Num4z6"/>
    <w:uiPriority w:val="0"/>
    <w:qFormat/>
    <w:rPr/>
  </w:style>
  <w:style w:type="character" w:styleId="WW8Num4z7" w:customStyle="1">
    <w:name w:val="WW8Num4z7"/>
    <w:uiPriority w:val="0"/>
    <w:qFormat/>
    <w:rPr/>
  </w:style>
  <w:style w:type="character" w:styleId="WW8Num4z8" w:customStyle="1">
    <w:name w:val="WW8Num4z8"/>
    <w:uiPriority w:val="0"/>
    <w:qFormat/>
    <w:rPr/>
  </w:style>
  <w:style w:type="character" w:styleId="WW8Num5z0" w:customStyle="1">
    <w:name w:val="WW8Num5z0"/>
    <w:uiPriority w:val="0"/>
    <w:qFormat/>
    <w:rPr>
      <w:color w:val="000000"/>
      <w:sz w:val="28"/>
    </w:rPr>
  </w:style>
  <w:style w:type="character" w:styleId="WW8Num5z1" w:customStyle="1">
    <w:name w:val="WW8Num5z1"/>
    <w:uiPriority w:val="0"/>
    <w:qFormat/>
    <w:rPr/>
  </w:style>
  <w:style w:type="character" w:styleId="WW8Num5z2" w:customStyle="1">
    <w:name w:val="WW8Num5z2"/>
    <w:uiPriority w:val="0"/>
    <w:qFormat/>
    <w:rPr/>
  </w:style>
  <w:style w:type="character" w:styleId="WW8Num5z3" w:customStyle="1">
    <w:name w:val="WW8Num5z3"/>
    <w:uiPriority w:val="0"/>
    <w:qFormat/>
    <w:rPr/>
  </w:style>
  <w:style w:type="character" w:styleId="WW8Num5z4" w:customStyle="1">
    <w:name w:val="WW8Num5z4"/>
    <w:uiPriority w:val="0"/>
    <w:qFormat/>
    <w:rPr/>
  </w:style>
  <w:style w:type="character" w:styleId="WW8Num5z5" w:customStyle="1">
    <w:name w:val="WW8Num5z5"/>
    <w:uiPriority w:val="0"/>
    <w:qFormat/>
    <w:rPr/>
  </w:style>
  <w:style w:type="character" w:styleId="WW8Num5z6" w:customStyle="1">
    <w:name w:val="WW8Num5z6"/>
    <w:uiPriority w:val="0"/>
    <w:qFormat/>
    <w:rPr/>
  </w:style>
  <w:style w:type="character" w:styleId="WW8Num5z7" w:customStyle="1">
    <w:name w:val="WW8Num5z7"/>
    <w:uiPriority w:val="0"/>
    <w:qFormat/>
    <w:rPr/>
  </w:style>
  <w:style w:type="character" w:styleId="WW8Num5z8" w:customStyle="1">
    <w:name w:val="WW8Num5z8"/>
    <w:uiPriority w:val="0"/>
    <w:qFormat/>
    <w:rPr/>
  </w:style>
  <w:style w:type="character" w:styleId="WW8Num6z0" w:customStyle="1">
    <w:name w:val="WW8Num6z0"/>
    <w:uiPriority w:val="0"/>
    <w:qFormat/>
    <w:rPr>
      <w:rFonts w:ascii="Times New Roman" w:hAnsi="Times New Roman" w:cs="Times New Roman"/>
      <w:spacing w:val="-22"/>
      <w:sz w:val="28"/>
      <w:szCs w:val="28"/>
    </w:rPr>
  </w:style>
  <w:style w:type="character" w:styleId="WW8Num7z0" w:customStyle="1">
    <w:name w:val="WW8Num7z0"/>
    <w:uiPriority w:val="0"/>
    <w:qFormat/>
    <w:rPr>
      <w:rFonts w:ascii="Times New Roman" w:hAnsi="Times New Roman" w:cs="Times New Roman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</w:rPr>
  </w:style>
  <w:style w:type="character" w:styleId="WW8Num9z0" w:customStyle="1">
    <w:name w:val="WW8Num9z0"/>
    <w:uiPriority w:val="0"/>
    <w:qFormat/>
    <w:rPr>
      <w:rFonts w:ascii="Times New Roman" w:hAnsi="Times New Roman" w:cs="Times New Roman"/>
    </w:rPr>
  </w:style>
  <w:style w:type="character" w:styleId="WW8Num10z0" w:customStyle="1">
    <w:name w:val="WW8Num10z0"/>
    <w:uiPriority w:val="0"/>
    <w:qFormat/>
    <w:rPr>
      <w:rFonts w:ascii="Times New Roman" w:hAnsi="Times New Roman" w:cs="Times New Roman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2z0" w:customStyle="1">
    <w:name w:val="WW8Num12z0"/>
    <w:uiPriority w:val="0"/>
    <w:qFormat/>
    <w:rPr>
      <w:rFonts w:ascii="Times New Roman" w:hAnsi="Times New Roman" w:cs="Times New Roman"/>
    </w:rPr>
  </w:style>
  <w:style w:type="character" w:styleId="WW8NumSt1z0" w:customStyle="1">
    <w:name w:val="WW8NumSt1z0"/>
    <w:uiPriority w:val="0"/>
    <w:qFormat/>
    <w:rPr>
      <w:rFonts w:ascii="Times New Roman" w:hAnsi="Times New Roman" w:cs="Times New Roman"/>
      <w:sz w:val="28"/>
      <w:szCs w:val="28"/>
    </w:rPr>
  </w:style>
  <w:style w:type="character" w:styleId="WW8NumSt3z0" w:customStyle="1">
    <w:name w:val="WW8NumSt3z0"/>
    <w:uiPriority w:val="0"/>
    <w:qFormat/>
    <w:rPr>
      <w:rFonts w:ascii="Times New Roman" w:hAnsi="Times New Roman" w:cs="Times New Roman"/>
      <w:spacing w:val="-1"/>
      <w:sz w:val="28"/>
      <w:szCs w:val="28"/>
    </w:rPr>
  </w:style>
  <w:style w:type="character" w:styleId="WW8NumSt13z0" w:customStyle="1">
    <w:name w:val="WW8NumSt13z0"/>
    <w:uiPriority w:val="0"/>
    <w:qFormat/>
    <w:rPr>
      <w:rFonts w:ascii="Times New Roman" w:hAnsi="Times New Roman" w:cs="Times New Roman"/>
    </w:rPr>
  </w:style>
  <w:style w:type="character" w:styleId="1" w:customStyle="1">
    <w:name w:val="Основной шрифт абзаца1"/>
    <w:uiPriority w:val="0"/>
    <w:qFormat/>
    <w:rPr/>
  </w:style>
  <w:style w:type="character" w:styleId="Style14" w:customStyle="1">
    <w:name w:val="Верхний колонтитул Знак"/>
    <w:basedOn w:val="1"/>
    <w:uiPriority w:val="0"/>
    <w:qFormat/>
    <w:rPr/>
  </w:style>
  <w:style w:type="character" w:styleId="Style15" w:customStyle="1">
    <w:name w:val="Нижний колонтитул Знак"/>
    <w:basedOn w:val="1"/>
    <w:uiPriority w:val="0"/>
    <w:qFormat/>
    <w:rPr/>
  </w:style>
  <w:style w:type="character" w:styleId="Style16" w:customStyle="1">
    <w:name w:val="Текст выноски Знак"/>
    <w:uiPriority w:val="0"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46"/>
    <w:uiPriority w:val="0"/>
    <w:qFormat/>
    <w:rPr>
      <w:shd w:fill="FFFFFF" w:val="clear"/>
    </w:rPr>
  </w:style>
  <w:style w:type="character" w:styleId="214pt" w:customStyle="1">
    <w:name w:val="Основной текст (2) + 14 pt"/>
    <w:basedOn w:val="2"/>
    <w:uiPriority w:val="0"/>
    <w:qFormat/>
    <w:rPr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paragraph" w:styleId="Style17" w:customStyle="1">
    <w:name w:val="Заголовок"/>
    <w:basedOn w:val="Normal"/>
    <w:next w:val="Style18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0"/>
    <w:qFormat/>
    <w:pPr>
      <w:spacing w:before="0" w:after="120"/>
    </w:pPr>
    <w:rPr/>
  </w:style>
  <w:style w:type="paragraph" w:styleId="Style19">
    <w:name w:val="List"/>
    <w:basedOn w:val="Style18"/>
    <w:uiPriority w:val="0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Верхний и нижний колонтитулы"/>
    <w:basedOn w:val="Normal"/>
    <w:uiPriority w:val="0"/>
    <w:qFormat/>
    <w:pPr/>
    <w:rPr/>
  </w:style>
  <w:style w:type="paragraph" w:styleId="Style23">
    <w:name w:val="Header"/>
    <w:basedOn w:val="Normal"/>
    <w:uiPriority w:val="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link w:val="45"/>
    <w:uiPriority w:val="0"/>
    <w:qFormat/>
    <w:pPr>
      <w:shd w:val="clear" w:color="auto" w:fill="FFFFFF"/>
      <w:suppressAutoHyphens w:val="false"/>
      <w:spacing w:lineRule="exact" w:line="302" w:before="320" w:after="0"/>
      <w:jc w:val="both"/>
    </w:pPr>
    <w:rPr>
      <w:lang w:eastAsia="ru-RU"/>
    </w:rPr>
  </w:style>
  <w:style w:type="paragraph" w:styleId="11" w:customStyle="1">
    <w:name w:val="Указатель11"/>
    <w:basedOn w:val="Normal"/>
    <w:uiPriority w:val="0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next w:val="Style18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LibreOffice/7.1.5.2$Windows_X86_64 LibreOffice_project/85f04e9f809797b8199d13c421bd8a2b025d52b5</Application>
  <AppVersion>15.0000</AppVersion>
  <Pages>5</Pages>
  <Words>1196</Words>
  <Characters>8764</Characters>
  <CharactersWithSpaces>10396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2021-02-10T05:46:00Z</dcterms:created>
  <dc:creator>sekretar</dc:creator>
  <dc:description/>
  <dc:language>ru-RU</dc:language>
  <cp:lastModifiedBy/>
  <cp:lastPrinted>2020-07-30T06:02:00Z</cp:lastPrinted>
  <dcterms:modified xsi:type="dcterms:W3CDTF">2024-01-16T11:41:59Z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B10F12D738DB42A49FB9FB36E5EB4449_13</vt:lpwstr>
  </property>
  <property fmtid="{D5CDD505-2E9C-101B-9397-08002B2CF9AE}" pid="3" name="KSOProductBuildVer">
    <vt:lpwstr>1049-12.2.0.13412</vt:lpwstr>
  </property>
</Properties>
</file>